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43" w:rsidRPr="00CF2D53" w:rsidRDefault="00B96E43" w:rsidP="00B96E43">
      <w:pPr>
        <w:widowControl w:val="0"/>
        <w:tabs>
          <w:tab w:val="left" w:pos="-284"/>
        </w:tabs>
        <w:autoSpaceDE w:val="0"/>
        <w:autoSpaceDN w:val="0"/>
        <w:adjustRightInd w:val="0"/>
        <w:ind w:right="-142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page" w:horzAnchor="page" w:tblpX="1843" w:tblpY="271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6989"/>
      </w:tblGrid>
      <w:tr w:rsidR="00B96E43" w:rsidRPr="001B06B1" w:rsidTr="00F96854">
        <w:trPr>
          <w:trHeight w:val="1831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B96E43" w:rsidRDefault="00B96E43" w:rsidP="00F96854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965200" cy="622300"/>
                  <wp:effectExtent l="0" t="0" r="6350" b="6350"/>
                  <wp:docPr id="1" name="Image 1" descr="logogd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d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E43" w:rsidRDefault="00B96E43" w:rsidP="00F96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Lille</w:t>
            </w:r>
            <w:r w:rsidRPr="00E57575">
              <w:rPr>
                <w:rFonts w:ascii="Arial" w:hAnsi="Arial" w:cs="Arial"/>
                <w:b/>
              </w:rPr>
              <w:t xml:space="preserve">, </w:t>
            </w:r>
          </w:p>
          <w:p w:rsidR="00B96E43" w:rsidRPr="001B06B1" w:rsidRDefault="00B96E43" w:rsidP="00F96854">
            <w:pPr>
              <w:jc w:val="center"/>
              <w:rPr>
                <w:sz w:val="28"/>
              </w:rPr>
            </w:pPr>
            <w:r>
              <w:rPr>
                <w:rFonts w:ascii="Arial" w:hAnsi="Arial" w:cs="Arial"/>
                <w:b/>
              </w:rPr>
              <w:t>19-20 Juin 2014</w:t>
            </w: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</w:tcPr>
          <w:p w:rsidR="00B96E43" w:rsidRPr="004B3DF8" w:rsidRDefault="00B96E43" w:rsidP="00F96854">
            <w:pPr>
              <w:rPr>
                <w:b/>
                <w:sz w:val="28"/>
              </w:rPr>
            </w:pPr>
          </w:p>
          <w:p w:rsidR="00B96E43" w:rsidRPr="00987DB8" w:rsidRDefault="00B96E43" w:rsidP="00F96854">
            <w:pPr>
              <w:pStyle w:val="En-tte"/>
              <w:tabs>
                <w:tab w:val="clear" w:pos="9072"/>
                <w:tab w:val="right" w:pos="9781"/>
              </w:tabs>
              <w:rPr>
                <w:rFonts w:ascii="Arial" w:hAnsi="Arial" w:cs="Arial"/>
                <w:b/>
                <w:lang w:val="fr-FR" w:eastAsia="fr-FR"/>
              </w:rPr>
            </w:pPr>
            <w:r>
              <w:rPr>
                <w:b/>
                <w:sz w:val="28"/>
                <w:lang w:val="fr-FR" w:eastAsia="fr-FR"/>
              </w:rPr>
              <w:t xml:space="preserve">Journées </w:t>
            </w:r>
            <w:r w:rsidRPr="0080220B">
              <w:rPr>
                <w:b/>
                <w:sz w:val="28"/>
                <w:lang w:val="fr-FR" w:eastAsia="fr-FR"/>
              </w:rPr>
              <w:t xml:space="preserve">GT2 – </w:t>
            </w:r>
            <w:r w:rsidRPr="0080220B">
              <w:rPr>
                <w:b/>
                <w:sz w:val="28"/>
                <w:szCs w:val="28"/>
                <w:lang w:val="fr-FR" w:eastAsia="fr-FR"/>
              </w:rPr>
              <w:t xml:space="preserve">Micro, </w:t>
            </w:r>
            <w:proofErr w:type="spellStart"/>
            <w:r w:rsidRPr="0080220B">
              <w:rPr>
                <w:b/>
                <w:sz w:val="28"/>
                <w:szCs w:val="28"/>
                <w:lang w:val="fr-FR" w:eastAsia="fr-FR"/>
              </w:rPr>
              <w:t>nano-structures</w:t>
            </w:r>
            <w:proofErr w:type="spellEnd"/>
            <w:r w:rsidRPr="0080220B">
              <w:rPr>
                <w:b/>
                <w:sz w:val="28"/>
                <w:szCs w:val="28"/>
                <w:lang w:val="fr-FR" w:eastAsia="fr-FR"/>
              </w:rPr>
              <w:t xml:space="preserve"> et dispositifs de l'optique aux micro-ondes</w:t>
            </w:r>
            <w:r w:rsidRPr="0080220B">
              <w:rPr>
                <w:rFonts w:ascii="Arial" w:hAnsi="Arial" w:cs="Arial"/>
                <w:b/>
                <w:lang w:val="fr-FR" w:eastAsia="fr-FR"/>
              </w:rPr>
              <w:t xml:space="preserve"> </w:t>
            </w:r>
          </w:p>
          <w:p w:rsidR="00B96E43" w:rsidRPr="00987DB8" w:rsidRDefault="00B96E43" w:rsidP="00F96854">
            <w:pPr>
              <w:pStyle w:val="En-tte"/>
              <w:tabs>
                <w:tab w:val="clear" w:pos="9072"/>
                <w:tab w:val="right" w:pos="9781"/>
              </w:tabs>
              <w:rPr>
                <w:rFonts w:ascii="Arial" w:hAnsi="Arial" w:cs="Arial"/>
                <w:b/>
                <w:lang w:val="fr-FR" w:eastAsia="fr-FR"/>
              </w:rPr>
            </w:pPr>
            <w:r w:rsidRPr="0080220B">
              <w:rPr>
                <w:rFonts w:ascii="Arial" w:hAnsi="Arial" w:cs="Arial"/>
                <w:b/>
                <w:lang w:val="fr-FR" w:eastAsia="fr-FR"/>
              </w:rPr>
              <w:tab/>
            </w:r>
          </w:p>
          <w:p w:rsidR="00B96E43" w:rsidRPr="001B06B1" w:rsidRDefault="00B96E43" w:rsidP="00F96854">
            <w:pPr>
              <w:jc w:val="center"/>
              <w:rPr>
                <w:b/>
                <w:sz w:val="28"/>
              </w:rPr>
            </w:pPr>
          </w:p>
        </w:tc>
      </w:tr>
    </w:tbl>
    <w:p w:rsidR="00B96E43" w:rsidRDefault="00B96E43" w:rsidP="00B96E43">
      <w:pPr>
        <w:widowControl w:val="0"/>
        <w:tabs>
          <w:tab w:val="left" w:pos="-284"/>
        </w:tabs>
        <w:autoSpaceDE w:val="0"/>
        <w:autoSpaceDN w:val="0"/>
        <w:adjustRightInd w:val="0"/>
        <w:ind w:right="-142"/>
        <w:jc w:val="center"/>
        <w:rPr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Canevas du résumé pour les journées GT2</w:t>
      </w:r>
    </w:p>
    <w:p w:rsidR="00B96E43" w:rsidRDefault="00B96E43" w:rsidP="00B96E43">
      <w:pPr>
        <w:widowControl w:val="0"/>
        <w:autoSpaceDE w:val="0"/>
        <w:autoSpaceDN w:val="0"/>
        <w:adjustRightInd w:val="0"/>
        <w:spacing w:before="14" w:line="220" w:lineRule="exact"/>
        <w:ind w:right="-20"/>
      </w:pPr>
    </w:p>
    <w:p w:rsidR="00B96E43" w:rsidRDefault="00B96E43" w:rsidP="00B96E43">
      <w:pPr>
        <w:widowControl w:val="0"/>
        <w:tabs>
          <w:tab w:val="left" w:pos="9214"/>
        </w:tabs>
        <w:autoSpaceDE w:val="0"/>
        <w:autoSpaceDN w:val="0"/>
        <w:adjustRightInd w:val="0"/>
        <w:ind w:left="567" w:right="362"/>
        <w:jc w:val="center"/>
        <w:rPr>
          <w:spacing w:val="2"/>
          <w:szCs w:val="24"/>
        </w:rPr>
      </w:pPr>
      <w:r w:rsidRPr="00C245E4">
        <w:rPr>
          <w:spacing w:val="1"/>
          <w:szCs w:val="24"/>
        </w:rPr>
        <w:t xml:space="preserve">A. </w:t>
      </w:r>
      <w:r>
        <w:rPr>
          <w:spacing w:val="1"/>
          <w:szCs w:val="24"/>
        </w:rPr>
        <w:t>Bouhelier</w:t>
      </w:r>
      <w:r w:rsidRPr="00C245E4">
        <w:rPr>
          <w:spacing w:val="-1"/>
          <w:szCs w:val="24"/>
          <w:vertAlign w:val="superscript"/>
        </w:rPr>
        <w:t>1</w:t>
      </w:r>
      <w:r w:rsidRPr="00C245E4">
        <w:rPr>
          <w:szCs w:val="24"/>
        </w:rPr>
        <w:t>,</w:t>
      </w:r>
      <w:r w:rsidRPr="00C245E4">
        <w:rPr>
          <w:spacing w:val="-6"/>
          <w:szCs w:val="24"/>
        </w:rPr>
        <w:t xml:space="preserve"> </w:t>
      </w:r>
      <w:r>
        <w:rPr>
          <w:spacing w:val="1"/>
          <w:szCs w:val="24"/>
        </w:rPr>
        <w:t>E. Lheurette</w:t>
      </w:r>
      <w:r>
        <w:rPr>
          <w:spacing w:val="-1"/>
          <w:szCs w:val="24"/>
          <w:vertAlign w:val="superscript"/>
        </w:rPr>
        <w:t>2</w:t>
      </w:r>
      <w:r w:rsidRPr="00C245E4">
        <w:rPr>
          <w:spacing w:val="2"/>
          <w:szCs w:val="24"/>
        </w:rPr>
        <w:t xml:space="preserve">, </w:t>
      </w:r>
      <w:r>
        <w:rPr>
          <w:spacing w:val="1"/>
          <w:szCs w:val="24"/>
        </w:rPr>
        <w:t>et E. Cassan</w:t>
      </w:r>
      <w:r>
        <w:rPr>
          <w:spacing w:val="-1"/>
          <w:szCs w:val="24"/>
          <w:vertAlign w:val="superscript"/>
        </w:rPr>
        <w:t>3</w:t>
      </w:r>
      <w:r w:rsidRPr="00C245E4">
        <w:rPr>
          <w:spacing w:val="2"/>
          <w:szCs w:val="24"/>
        </w:rPr>
        <w:t xml:space="preserve">, </w:t>
      </w:r>
    </w:p>
    <w:p w:rsidR="00B96E43" w:rsidRPr="00C245E4" w:rsidRDefault="00B96E43" w:rsidP="00B96E43">
      <w:pPr>
        <w:widowControl w:val="0"/>
        <w:tabs>
          <w:tab w:val="left" w:pos="9214"/>
        </w:tabs>
        <w:autoSpaceDE w:val="0"/>
        <w:autoSpaceDN w:val="0"/>
        <w:adjustRightInd w:val="0"/>
        <w:ind w:left="567" w:right="362"/>
        <w:jc w:val="center"/>
        <w:rPr>
          <w:szCs w:val="24"/>
        </w:rPr>
      </w:pPr>
    </w:p>
    <w:p w:rsidR="00B96E43" w:rsidRPr="00620ED3" w:rsidRDefault="00B96E43" w:rsidP="00B96E43">
      <w:pPr>
        <w:widowControl w:val="0"/>
        <w:autoSpaceDE w:val="0"/>
        <w:autoSpaceDN w:val="0"/>
        <w:adjustRightInd w:val="0"/>
        <w:ind w:left="678" w:right="606"/>
        <w:jc w:val="center"/>
        <w:rPr>
          <w:i/>
          <w:sz w:val="22"/>
          <w:szCs w:val="22"/>
        </w:rPr>
      </w:pPr>
      <w:r w:rsidRPr="00620ED3">
        <w:rPr>
          <w:i/>
          <w:iCs/>
          <w:spacing w:val="1"/>
          <w:sz w:val="22"/>
          <w:szCs w:val="22"/>
          <w:vertAlign w:val="superscript"/>
        </w:rPr>
        <w:t>1</w:t>
      </w:r>
      <w:r w:rsidRPr="00620ED3">
        <w:rPr>
          <w:i/>
          <w:iCs/>
          <w:spacing w:val="1"/>
          <w:sz w:val="22"/>
          <w:szCs w:val="22"/>
        </w:rPr>
        <w:t>  Laboratoire Interdisciplinaire Carnot de Bourgogne</w:t>
      </w:r>
      <w:r w:rsidRPr="00620ED3">
        <w:rPr>
          <w:i/>
          <w:sz w:val="22"/>
          <w:szCs w:val="22"/>
        </w:rPr>
        <w:t>, UMR 5209  CNRS, Université de Bourgogne, 9 Avenue Alain Savary, 21000 Dijon</w:t>
      </w:r>
    </w:p>
    <w:p w:rsidR="00B96E43" w:rsidRPr="00620ED3" w:rsidRDefault="00B96E43" w:rsidP="00B96E43">
      <w:pPr>
        <w:jc w:val="center"/>
        <w:rPr>
          <w:i/>
          <w:sz w:val="22"/>
          <w:szCs w:val="22"/>
        </w:rPr>
      </w:pPr>
      <w:r w:rsidRPr="00620ED3">
        <w:rPr>
          <w:i/>
          <w:sz w:val="22"/>
          <w:szCs w:val="22"/>
        </w:rPr>
        <w:t>²</w:t>
      </w:r>
      <w:r w:rsidRPr="00620ED3">
        <w:rPr>
          <w:sz w:val="22"/>
          <w:szCs w:val="22"/>
        </w:rPr>
        <w:t xml:space="preserve"> </w:t>
      </w:r>
      <w:r w:rsidRPr="00620ED3">
        <w:rPr>
          <w:i/>
          <w:sz w:val="22"/>
          <w:szCs w:val="22"/>
        </w:rPr>
        <w:t>Institut d’Électronique, de Microélectronique et de Nanotechnologies de Lille</w:t>
      </w:r>
      <w:r>
        <w:rPr>
          <w:i/>
          <w:sz w:val="22"/>
          <w:szCs w:val="22"/>
        </w:rPr>
        <w:t xml:space="preserve"> </w:t>
      </w:r>
      <w:r w:rsidRPr="00627AAA">
        <w:rPr>
          <w:i/>
          <w:sz w:val="22"/>
          <w:szCs w:val="22"/>
        </w:rPr>
        <w:t>(IEMN), UMR CNRS 8520, Université de Lille 1, 59652 Villeneuve d’Ascq Cedex, France</w:t>
      </w:r>
    </w:p>
    <w:p w:rsidR="00B96E43" w:rsidRPr="00627AAA" w:rsidRDefault="00B96E43" w:rsidP="00B96E43">
      <w:pPr>
        <w:jc w:val="center"/>
        <w:rPr>
          <w:i/>
          <w:sz w:val="22"/>
        </w:rPr>
      </w:pPr>
      <w:r w:rsidRPr="00620ED3">
        <w:rPr>
          <w:i/>
          <w:sz w:val="22"/>
          <w:szCs w:val="22"/>
          <w:vertAlign w:val="superscript"/>
        </w:rPr>
        <w:t xml:space="preserve">3 </w:t>
      </w:r>
      <w:r w:rsidRPr="00627AAA">
        <w:rPr>
          <w:i/>
          <w:sz w:val="22"/>
        </w:rPr>
        <w:t>Institut d’Electronique Fondamentale, Université Paris-Sud CNRS UMR 8622 Bat. 220, Centre scientifique d’Orsay, 91405 Orsay, France</w:t>
      </w:r>
    </w:p>
    <w:p w:rsidR="00B96E43" w:rsidRPr="00620ED3" w:rsidRDefault="00B96E43" w:rsidP="00B96E43">
      <w:pPr>
        <w:widowControl w:val="0"/>
        <w:autoSpaceDE w:val="0"/>
        <w:autoSpaceDN w:val="0"/>
        <w:adjustRightInd w:val="0"/>
        <w:ind w:left="678" w:right="606"/>
        <w:jc w:val="center"/>
        <w:rPr>
          <w:i/>
          <w:iCs/>
          <w:spacing w:val="1"/>
          <w:szCs w:val="24"/>
        </w:rPr>
      </w:pPr>
    </w:p>
    <w:p w:rsidR="00B96E43" w:rsidRDefault="00B96E43" w:rsidP="00B96E43">
      <w:pPr>
        <w:widowControl w:val="0"/>
        <w:autoSpaceDE w:val="0"/>
        <w:autoSpaceDN w:val="0"/>
        <w:adjustRightInd w:val="0"/>
        <w:spacing w:before="2" w:line="260" w:lineRule="exact"/>
        <w:ind w:right="-20"/>
        <w:rPr>
          <w:sz w:val="26"/>
          <w:szCs w:val="26"/>
        </w:rPr>
      </w:pPr>
    </w:p>
    <w:p w:rsidR="00B96E43" w:rsidRPr="007A4E8D" w:rsidRDefault="00B96E43" w:rsidP="00B96E43">
      <w:pPr>
        <w:widowControl w:val="0"/>
        <w:autoSpaceDE w:val="0"/>
        <w:autoSpaceDN w:val="0"/>
        <w:adjustRightInd w:val="0"/>
        <w:spacing w:line="208" w:lineRule="exact"/>
        <w:ind w:left="113" w:right="3727"/>
        <w:jc w:val="both"/>
      </w:pPr>
      <w:r w:rsidRPr="007A4E8D">
        <w:rPr>
          <w:b/>
          <w:bCs/>
          <w:i/>
          <w:iCs/>
          <w:spacing w:val="-1"/>
        </w:rPr>
        <w:t>R</w:t>
      </w:r>
      <w:r w:rsidRPr="007A4E8D">
        <w:rPr>
          <w:b/>
          <w:bCs/>
          <w:i/>
          <w:iCs/>
        </w:rPr>
        <w:t>é</w:t>
      </w:r>
      <w:r w:rsidRPr="007A4E8D">
        <w:rPr>
          <w:b/>
          <w:bCs/>
          <w:i/>
          <w:iCs/>
          <w:spacing w:val="-1"/>
        </w:rPr>
        <w:t>s</w:t>
      </w:r>
      <w:r w:rsidRPr="007A4E8D">
        <w:rPr>
          <w:b/>
          <w:bCs/>
          <w:i/>
          <w:iCs/>
        </w:rPr>
        <w:t>u</w:t>
      </w:r>
      <w:r w:rsidRPr="007A4E8D">
        <w:rPr>
          <w:b/>
          <w:bCs/>
          <w:i/>
          <w:iCs/>
          <w:spacing w:val="4"/>
        </w:rPr>
        <w:t>m</w:t>
      </w:r>
      <w:r w:rsidRPr="007A4E8D">
        <w:rPr>
          <w:b/>
          <w:bCs/>
          <w:i/>
          <w:iCs/>
        </w:rPr>
        <w:t>é</w:t>
      </w:r>
    </w:p>
    <w:p w:rsidR="00B96E43" w:rsidRDefault="00B96E43" w:rsidP="00B96E43">
      <w:pPr>
        <w:widowControl w:val="0"/>
        <w:autoSpaceDE w:val="0"/>
        <w:autoSpaceDN w:val="0"/>
        <w:adjustRightInd w:val="0"/>
        <w:spacing w:line="226" w:lineRule="exact"/>
        <w:ind w:right="-67" w:firstLine="284"/>
        <w:jc w:val="both"/>
        <w:rPr>
          <w:i/>
          <w:iCs/>
        </w:rPr>
      </w:pPr>
      <w:r>
        <w:rPr>
          <w:i/>
          <w:iCs/>
        </w:rPr>
        <w:t xml:space="preserve">Ce papier détaille …. </w:t>
      </w:r>
    </w:p>
    <w:p w:rsidR="00B96E43" w:rsidRDefault="00B96E43" w:rsidP="00B96E43">
      <w:pPr>
        <w:widowControl w:val="0"/>
        <w:autoSpaceDE w:val="0"/>
        <w:autoSpaceDN w:val="0"/>
        <w:adjustRightInd w:val="0"/>
        <w:spacing w:before="1" w:line="240" w:lineRule="exact"/>
        <w:ind w:right="-20"/>
        <w:rPr>
          <w:szCs w:val="24"/>
        </w:rPr>
      </w:pPr>
    </w:p>
    <w:p w:rsidR="00B96E43" w:rsidRPr="00317A1A" w:rsidRDefault="00B96E43" w:rsidP="00B96E43">
      <w:pPr>
        <w:widowControl w:val="0"/>
        <w:autoSpaceDE w:val="0"/>
        <w:autoSpaceDN w:val="0"/>
        <w:adjustRightInd w:val="0"/>
        <w:ind w:left="113" w:right="2961"/>
        <w:jc w:val="both"/>
        <w:rPr>
          <w:szCs w:val="24"/>
        </w:rPr>
      </w:pPr>
      <w:r>
        <w:rPr>
          <w:b/>
          <w:bCs/>
          <w:szCs w:val="24"/>
        </w:rPr>
        <w:t>1.</w:t>
      </w:r>
      <w:r>
        <w:rPr>
          <w:b/>
          <w:bCs/>
          <w:spacing w:val="41"/>
          <w:szCs w:val="24"/>
        </w:rPr>
        <w:t xml:space="preserve"> </w:t>
      </w:r>
      <w:r>
        <w:rPr>
          <w:b/>
          <w:bCs/>
          <w:szCs w:val="24"/>
        </w:rPr>
        <w:t>I</w:t>
      </w:r>
      <w:r>
        <w:rPr>
          <w:b/>
          <w:bCs/>
          <w:spacing w:val="1"/>
          <w:szCs w:val="24"/>
        </w:rPr>
        <w:t>n</w:t>
      </w:r>
      <w:r>
        <w:rPr>
          <w:b/>
          <w:bCs/>
          <w:spacing w:val="-1"/>
          <w:szCs w:val="24"/>
        </w:rPr>
        <w:t>tr</w:t>
      </w:r>
      <w:r>
        <w:rPr>
          <w:b/>
          <w:bCs/>
          <w:szCs w:val="24"/>
        </w:rPr>
        <w:t>o</w:t>
      </w:r>
      <w:r>
        <w:rPr>
          <w:b/>
          <w:bCs/>
          <w:spacing w:val="1"/>
          <w:szCs w:val="24"/>
        </w:rPr>
        <w:t>du</w:t>
      </w:r>
      <w:r>
        <w:rPr>
          <w:b/>
          <w:bCs/>
          <w:spacing w:val="-1"/>
          <w:szCs w:val="24"/>
        </w:rPr>
        <w:t>ct</w:t>
      </w:r>
      <w:r>
        <w:rPr>
          <w:b/>
          <w:bCs/>
          <w:spacing w:val="1"/>
          <w:szCs w:val="24"/>
        </w:rPr>
        <w:t>i</w:t>
      </w:r>
      <w:r>
        <w:rPr>
          <w:b/>
          <w:bCs/>
          <w:szCs w:val="24"/>
        </w:rPr>
        <w:t>on</w:t>
      </w:r>
    </w:p>
    <w:p w:rsidR="00B96E43" w:rsidRDefault="00B96E43" w:rsidP="00B96E43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Les antennes optiques sont des composants …</w:t>
      </w:r>
    </w:p>
    <w:p w:rsidR="00B96E43" w:rsidRDefault="00B96E43" w:rsidP="00B96E43">
      <w:pPr>
        <w:widowControl w:val="0"/>
        <w:autoSpaceDE w:val="0"/>
        <w:autoSpaceDN w:val="0"/>
        <w:adjustRightInd w:val="0"/>
        <w:spacing w:before="6"/>
        <w:ind w:right="-20"/>
        <w:jc w:val="both"/>
        <w:rPr>
          <w:szCs w:val="24"/>
        </w:rPr>
      </w:pPr>
    </w:p>
    <w:p w:rsidR="00B96E43" w:rsidRDefault="00B96E43" w:rsidP="00B96E43">
      <w:pPr>
        <w:widowControl w:val="0"/>
        <w:autoSpaceDE w:val="0"/>
        <w:autoSpaceDN w:val="0"/>
        <w:adjustRightInd w:val="0"/>
        <w:ind w:right="42"/>
        <w:jc w:val="both"/>
        <w:rPr>
          <w:szCs w:val="24"/>
        </w:rPr>
      </w:pPr>
      <w:r>
        <w:rPr>
          <w:b/>
          <w:bCs/>
          <w:szCs w:val="24"/>
        </w:rPr>
        <w:t>2.</w:t>
      </w:r>
      <w:r>
        <w:rPr>
          <w:b/>
          <w:bCs/>
          <w:spacing w:val="41"/>
          <w:szCs w:val="24"/>
        </w:rPr>
        <w:t xml:space="preserve"> </w:t>
      </w:r>
      <w:r>
        <w:rPr>
          <w:b/>
          <w:bCs/>
          <w:szCs w:val="24"/>
        </w:rPr>
        <w:t xml:space="preserve">Caractérisation </w:t>
      </w:r>
    </w:p>
    <w:p w:rsidR="00B96E43" w:rsidRPr="00317A1A" w:rsidRDefault="00B96E43" w:rsidP="00B96E43">
      <w:pPr>
        <w:widowControl w:val="0"/>
        <w:autoSpaceDE w:val="0"/>
        <w:autoSpaceDN w:val="0"/>
        <w:adjustRightInd w:val="0"/>
        <w:ind w:right="54" w:firstLine="284"/>
        <w:jc w:val="both"/>
      </w:pPr>
      <w:r>
        <w:rPr>
          <w:sz w:val="20"/>
        </w:rPr>
        <w:t xml:space="preserve">Nous avons développé un microscope </w:t>
      </w:r>
      <w:proofErr w:type="spellStart"/>
      <w:r>
        <w:rPr>
          <w:sz w:val="20"/>
        </w:rPr>
        <w:t>confocal</w:t>
      </w:r>
      <w:proofErr w:type="spellEnd"/>
      <w:r>
        <w:rPr>
          <w:sz w:val="20"/>
        </w:rPr>
        <w:t xml:space="preserve"> …</w:t>
      </w:r>
    </w:p>
    <w:p w:rsidR="00B96E43" w:rsidRDefault="00B96E43" w:rsidP="00B96E43">
      <w:pPr>
        <w:jc w:val="center"/>
        <w:rPr>
          <w:sz w:val="20"/>
        </w:rPr>
      </w:pPr>
    </w:p>
    <w:p w:rsidR="00B96E43" w:rsidRPr="00683463" w:rsidRDefault="00B96E43" w:rsidP="00B96E43">
      <w:pPr>
        <w:widowControl w:val="0"/>
        <w:autoSpaceDE w:val="0"/>
        <w:autoSpaceDN w:val="0"/>
        <w:adjustRightInd w:val="0"/>
        <w:spacing w:before="7" w:line="110" w:lineRule="exact"/>
        <w:ind w:right="-20"/>
        <w:rPr>
          <w:sz w:val="20"/>
        </w:rPr>
      </w:pPr>
    </w:p>
    <w:p w:rsidR="00B96E43" w:rsidRDefault="00B96E43" w:rsidP="00B96E43">
      <w:pPr>
        <w:widowControl w:val="0"/>
        <w:autoSpaceDE w:val="0"/>
        <w:autoSpaceDN w:val="0"/>
        <w:adjustRightInd w:val="0"/>
        <w:ind w:right="3227"/>
        <w:jc w:val="both"/>
        <w:rPr>
          <w:szCs w:val="24"/>
        </w:rPr>
      </w:pPr>
      <w:r>
        <w:rPr>
          <w:b/>
          <w:bCs/>
          <w:szCs w:val="24"/>
        </w:rPr>
        <w:t>3.</w:t>
      </w:r>
      <w:r>
        <w:rPr>
          <w:b/>
          <w:bCs/>
          <w:spacing w:val="41"/>
          <w:szCs w:val="24"/>
        </w:rPr>
        <w:t xml:space="preserve"> </w:t>
      </w:r>
      <w:r>
        <w:rPr>
          <w:b/>
          <w:bCs/>
          <w:szCs w:val="24"/>
        </w:rPr>
        <w:t>Co</w:t>
      </w:r>
      <w:r>
        <w:rPr>
          <w:b/>
          <w:bCs/>
          <w:spacing w:val="1"/>
          <w:szCs w:val="24"/>
        </w:rPr>
        <w:t>n</w:t>
      </w:r>
      <w:r>
        <w:rPr>
          <w:b/>
          <w:bCs/>
          <w:spacing w:val="-1"/>
          <w:szCs w:val="24"/>
        </w:rPr>
        <w:t>c</w:t>
      </w:r>
      <w:r>
        <w:rPr>
          <w:b/>
          <w:bCs/>
          <w:spacing w:val="1"/>
          <w:szCs w:val="24"/>
        </w:rPr>
        <w:t>lu</w:t>
      </w:r>
      <w:r>
        <w:rPr>
          <w:b/>
          <w:bCs/>
          <w:szCs w:val="24"/>
        </w:rPr>
        <w:t>s</w:t>
      </w:r>
      <w:r>
        <w:rPr>
          <w:b/>
          <w:bCs/>
          <w:spacing w:val="1"/>
          <w:szCs w:val="24"/>
        </w:rPr>
        <w:t>i</w:t>
      </w:r>
      <w:r>
        <w:rPr>
          <w:b/>
          <w:bCs/>
          <w:szCs w:val="24"/>
        </w:rPr>
        <w:t>on</w:t>
      </w:r>
    </w:p>
    <w:p w:rsidR="00B96E43" w:rsidRDefault="00B96E43" w:rsidP="00B96E43">
      <w:pPr>
        <w:widowControl w:val="0"/>
        <w:autoSpaceDE w:val="0"/>
        <w:autoSpaceDN w:val="0"/>
        <w:adjustRightInd w:val="0"/>
        <w:ind w:right="57" w:firstLine="284"/>
        <w:jc w:val="both"/>
        <w:rPr>
          <w:spacing w:val="13"/>
          <w:sz w:val="20"/>
        </w:rPr>
      </w:pPr>
      <w:r>
        <w:rPr>
          <w:sz w:val="20"/>
        </w:rPr>
        <w:t>Dans ce papier, nous avons démontré …</w:t>
      </w:r>
    </w:p>
    <w:p w:rsidR="00B96E43" w:rsidRDefault="00B96E43" w:rsidP="00B96E43">
      <w:pPr>
        <w:widowControl w:val="0"/>
        <w:autoSpaceDE w:val="0"/>
        <w:autoSpaceDN w:val="0"/>
        <w:adjustRightInd w:val="0"/>
        <w:ind w:right="54"/>
        <w:jc w:val="both"/>
        <w:rPr>
          <w:spacing w:val="13"/>
          <w:sz w:val="20"/>
        </w:rPr>
      </w:pPr>
    </w:p>
    <w:p w:rsidR="00B96E43" w:rsidRPr="00400B6D" w:rsidRDefault="00B96E43" w:rsidP="00B96E43">
      <w:pPr>
        <w:widowControl w:val="0"/>
        <w:autoSpaceDE w:val="0"/>
        <w:autoSpaceDN w:val="0"/>
        <w:adjustRightInd w:val="0"/>
        <w:ind w:right="2970"/>
        <w:jc w:val="both"/>
        <w:rPr>
          <w:b/>
          <w:bCs/>
          <w:szCs w:val="24"/>
          <w:lang w:val="en-US"/>
        </w:rPr>
      </w:pPr>
      <w:r w:rsidRPr="00400B6D">
        <w:rPr>
          <w:b/>
          <w:bCs/>
          <w:szCs w:val="24"/>
          <w:lang w:val="en-US"/>
        </w:rPr>
        <w:t>7.</w:t>
      </w:r>
      <w:r w:rsidRPr="00400B6D">
        <w:rPr>
          <w:b/>
          <w:bCs/>
          <w:spacing w:val="41"/>
          <w:szCs w:val="24"/>
          <w:lang w:val="en-US"/>
        </w:rPr>
        <w:t xml:space="preserve"> </w:t>
      </w:r>
      <w:proofErr w:type="spellStart"/>
      <w:r w:rsidRPr="00400B6D">
        <w:rPr>
          <w:b/>
          <w:bCs/>
          <w:spacing w:val="1"/>
          <w:szCs w:val="24"/>
          <w:lang w:val="en-US"/>
        </w:rPr>
        <w:t>Bibli</w:t>
      </w:r>
      <w:r w:rsidRPr="00400B6D">
        <w:rPr>
          <w:b/>
          <w:bCs/>
          <w:szCs w:val="24"/>
          <w:lang w:val="en-US"/>
        </w:rPr>
        <w:t>og</w:t>
      </w:r>
      <w:r w:rsidRPr="00400B6D">
        <w:rPr>
          <w:b/>
          <w:bCs/>
          <w:spacing w:val="-1"/>
          <w:szCs w:val="24"/>
          <w:lang w:val="en-US"/>
        </w:rPr>
        <w:t>r</w:t>
      </w:r>
      <w:r w:rsidRPr="00400B6D">
        <w:rPr>
          <w:b/>
          <w:bCs/>
          <w:szCs w:val="24"/>
          <w:lang w:val="en-US"/>
        </w:rPr>
        <w:t>a</w:t>
      </w:r>
      <w:r w:rsidRPr="00400B6D">
        <w:rPr>
          <w:b/>
          <w:bCs/>
          <w:spacing w:val="1"/>
          <w:szCs w:val="24"/>
          <w:lang w:val="en-US"/>
        </w:rPr>
        <w:t>phi</w:t>
      </w:r>
      <w:r w:rsidRPr="00400B6D">
        <w:rPr>
          <w:b/>
          <w:bCs/>
          <w:szCs w:val="24"/>
          <w:lang w:val="en-US"/>
        </w:rPr>
        <w:t>e</w:t>
      </w:r>
      <w:proofErr w:type="spellEnd"/>
    </w:p>
    <w:p w:rsidR="00B96E43" w:rsidRPr="00400B6D" w:rsidRDefault="00B96E43" w:rsidP="00B96E43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  <w:r w:rsidRPr="00400B6D">
        <w:rPr>
          <w:sz w:val="18"/>
          <w:szCs w:val="18"/>
          <w:lang w:val="en-US"/>
        </w:rPr>
        <w:t xml:space="preserve"> [1] P</w:t>
      </w:r>
      <w:r>
        <w:rPr>
          <w:sz w:val="18"/>
          <w:szCs w:val="18"/>
          <w:lang w:val="en-US"/>
        </w:rPr>
        <w:t>.</w:t>
      </w:r>
      <w:r w:rsidRPr="00400B6D">
        <w:rPr>
          <w:sz w:val="18"/>
          <w:szCs w:val="18"/>
          <w:lang w:val="en-US"/>
        </w:rPr>
        <w:t xml:space="preserve"> </w:t>
      </w:r>
      <w:proofErr w:type="spellStart"/>
      <w:r w:rsidRPr="00400B6D">
        <w:rPr>
          <w:sz w:val="18"/>
          <w:szCs w:val="18"/>
          <w:lang w:val="en-US"/>
        </w:rPr>
        <w:t>Bharadwaj</w:t>
      </w:r>
      <w:proofErr w:type="spellEnd"/>
      <w:r w:rsidRPr="00400B6D">
        <w:rPr>
          <w:sz w:val="18"/>
          <w:szCs w:val="18"/>
          <w:lang w:val="en-US"/>
        </w:rPr>
        <w:t>, B</w:t>
      </w:r>
      <w:r>
        <w:rPr>
          <w:sz w:val="18"/>
          <w:szCs w:val="18"/>
          <w:lang w:val="en-US"/>
        </w:rPr>
        <w:t>.</w:t>
      </w:r>
      <w:r w:rsidRPr="00400B6D">
        <w:rPr>
          <w:sz w:val="18"/>
          <w:szCs w:val="18"/>
          <w:lang w:val="en-US"/>
        </w:rPr>
        <w:t xml:space="preserve"> Deutsch, and L</w:t>
      </w:r>
      <w:r>
        <w:rPr>
          <w:sz w:val="18"/>
          <w:szCs w:val="18"/>
          <w:lang w:val="en-US"/>
        </w:rPr>
        <w:t>.</w:t>
      </w:r>
      <w:r w:rsidRPr="00400B6D">
        <w:rPr>
          <w:sz w:val="18"/>
          <w:szCs w:val="18"/>
          <w:lang w:val="en-US"/>
        </w:rPr>
        <w:t xml:space="preserve"> </w:t>
      </w:r>
      <w:proofErr w:type="gramStart"/>
      <w:r w:rsidRPr="00400B6D">
        <w:rPr>
          <w:sz w:val="18"/>
          <w:szCs w:val="18"/>
          <w:lang w:val="en-US"/>
        </w:rPr>
        <w:t>Novotny</w:t>
      </w:r>
      <w:r>
        <w:rPr>
          <w:sz w:val="18"/>
          <w:szCs w:val="18"/>
          <w:lang w:val="en-US"/>
        </w:rPr>
        <w:t xml:space="preserve"> </w:t>
      </w:r>
      <w:r w:rsidRPr="00400B6D">
        <w:rPr>
          <w:sz w:val="18"/>
          <w:szCs w:val="18"/>
          <w:lang w:val="en-US"/>
        </w:rPr>
        <w:t xml:space="preserve"> “</w:t>
      </w:r>
      <w:proofErr w:type="gramEnd"/>
      <w:r w:rsidRPr="00400B6D">
        <w:rPr>
          <w:i/>
          <w:iCs/>
          <w:sz w:val="18"/>
          <w:szCs w:val="18"/>
          <w:lang w:val="en-US"/>
        </w:rPr>
        <w:t xml:space="preserve">Optical Antennas”, </w:t>
      </w:r>
      <w:r w:rsidRPr="00400B6D">
        <w:rPr>
          <w:sz w:val="18"/>
          <w:szCs w:val="18"/>
          <w:lang w:val="en-US"/>
        </w:rPr>
        <w:t xml:space="preserve">Advances in Optics and Photonics </w:t>
      </w:r>
      <w:r w:rsidRPr="00400B6D">
        <w:rPr>
          <w:b/>
          <w:bCs/>
          <w:sz w:val="18"/>
          <w:szCs w:val="18"/>
          <w:lang w:val="en-US"/>
        </w:rPr>
        <w:t>1</w:t>
      </w:r>
      <w:r w:rsidRPr="00400B6D">
        <w:rPr>
          <w:sz w:val="18"/>
          <w:szCs w:val="18"/>
          <w:lang w:val="en-US"/>
        </w:rPr>
        <w:t>, 438–483 (2009)</w:t>
      </w:r>
    </w:p>
    <w:p w:rsidR="00B96E43" w:rsidRDefault="00B96E43" w:rsidP="00B96E43">
      <w:pPr>
        <w:widowControl w:val="0"/>
        <w:tabs>
          <w:tab w:val="left" w:pos="-284"/>
        </w:tabs>
        <w:autoSpaceDE w:val="0"/>
        <w:autoSpaceDN w:val="0"/>
        <w:adjustRightInd w:val="0"/>
        <w:ind w:right="-142"/>
        <w:jc w:val="both"/>
        <w:rPr>
          <w:color w:val="000000"/>
          <w:sz w:val="22"/>
          <w:szCs w:val="22"/>
          <w:lang w:val="en-US"/>
        </w:rPr>
      </w:pPr>
    </w:p>
    <w:p w:rsidR="00B96E43" w:rsidRDefault="00B96E43" w:rsidP="00B96E43">
      <w:pPr>
        <w:widowControl w:val="0"/>
        <w:tabs>
          <w:tab w:val="left" w:pos="-284"/>
        </w:tabs>
        <w:autoSpaceDE w:val="0"/>
        <w:autoSpaceDN w:val="0"/>
        <w:adjustRightInd w:val="0"/>
        <w:ind w:right="-142"/>
        <w:jc w:val="both"/>
        <w:rPr>
          <w:color w:val="000000"/>
          <w:sz w:val="22"/>
          <w:szCs w:val="22"/>
          <w:lang w:val="en-US"/>
        </w:rPr>
      </w:pPr>
    </w:p>
    <w:p w:rsidR="00580822" w:rsidRPr="00B96E43" w:rsidRDefault="00580822">
      <w:pPr>
        <w:rPr>
          <w:lang w:val="en-US"/>
        </w:rPr>
      </w:pPr>
      <w:bookmarkStart w:id="0" w:name="_GoBack"/>
      <w:bookmarkEnd w:id="0"/>
    </w:p>
    <w:sectPr w:rsidR="00580822" w:rsidRPr="00B9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43"/>
    <w:rsid w:val="00580822"/>
    <w:rsid w:val="00A85A74"/>
    <w:rsid w:val="00B9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96E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B96E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E4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96E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B96E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E4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IEMN</dc:creator>
  <cp:lastModifiedBy>IEMN</cp:lastModifiedBy>
  <cp:revision>1</cp:revision>
  <dcterms:created xsi:type="dcterms:W3CDTF">2014-05-06T07:33:00Z</dcterms:created>
  <dcterms:modified xsi:type="dcterms:W3CDTF">2014-05-06T07:34:00Z</dcterms:modified>
</cp:coreProperties>
</file>